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4D84" w14:textId="79B6DBB5" w:rsidR="007748ED" w:rsidRDefault="007748ED" w:rsidP="00774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r w:rsidR="009526E6">
        <w:fldChar w:fldCharType="begin"/>
      </w:r>
      <w:r w:rsidR="009526E6">
        <w:instrText xml:space="preserve"> DOCPROPERTY  TSG/WGRef  \* MERGEFORMAT </w:instrText>
      </w:r>
      <w:r w:rsidR="009526E6">
        <w:fldChar w:fldCharType="separate"/>
      </w:r>
      <w:r>
        <w:rPr>
          <w:b/>
          <w:noProof/>
          <w:sz w:val="24"/>
        </w:rPr>
        <w:t>RAN5</w:t>
      </w:r>
      <w:r w:rsidR="009526E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526E6">
        <w:fldChar w:fldCharType="begin"/>
      </w:r>
      <w:r w:rsidR="009526E6">
        <w:instrText xml:space="preserve"> DOCPROPERTY  MtgSeq  \* MERGEFORMAT </w:instrText>
      </w:r>
      <w:r w:rsidR="009526E6">
        <w:fldChar w:fldCharType="separate"/>
      </w:r>
      <w:r w:rsidRPr="00EB09B7">
        <w:rPr>
          <w:b/>
          <w:noProof/>
          <w:sz w:val="24"/>
        </w:rPr>
        <w:t>9</w:t>
      </w:r>
      <w:r w:rsidR="00C9614A">
        <w:rPr>
          <w:b/>
          <w:noProof/>
          <w:sz w:val="24"/>
        </w:rPr>
        <w:t>9</w:t>
      </w:r>
      <w:r w:rsidR="009526E6">
        <w:rPr>
          <w:b/>
          <w:noProof/>
          <w:sz w:val="24"/>
        </w:rPr>
        <w:fldChar w:fldCharType="end"/>
      </w:r>
      <w:r w:rsidR="009526E6">
        <w:fldChar w:fldCharType="begin"/>
      </w:r>
      <w:r w:rsidR="009526E6">
        <w:instrText xml:space="preserve"> DOCPROPERTY  MtgTitle  \* MERGEFORMAT </w:instrText>
      </w:r>
      <w:r w:rsidR="009526E6">
        <w:fldChar w:fldCharType="separate"/>
      </w:r>
      <w:r w:rsidR="009526E6">
        <w:fldChar w:fldCharType="end"/>
      </w:r>
      <w:r>
        <w:rPr>
          <w:b/>
          <w:i/>
          <w:noProof/>
          <w:sz w:val="28"/>
        </w:rPr>
        <w:tab/>
      </w:r>
      <w:r w:rsidR="009526E6">
        <w:fldChar w:fldCharType="begin"/>
      </w:r>
      <w:r w:rsidR="009526E6">
        <w:instrText xml:space="preserve"> DOCPROPERTY  Tdoc#  \* MERGEFORMAT </w:instrText>
      </w:r>
      <w:r w:rsidR="009526E6">
        <w:fldChar w:fldCharType="separate"/>
      </w:r>
      <w:r w:rsidR="009526E6" w:rsidRPr="009526E6">
        <w:rPr>
          <w:b/>
          <w:i/>
          <w:noProof/>
          <w:sz w:val="28"/>
        </w:rPr>
        <w:t>R5-232162</w:t>
      </w:r>
      <w:r w:rsidR="009526E6">
        <w:rPr>
          <w:b/>
          <w:i/>
          <w:noProof/>
          <w:sz w:val="28"/>
          <w:highlight w:val="magenta"/>
        </w:rPr>
        <w:fldChar w:fldCharType="end"/>
      </w:r>
    </w:p>
    <w:p w14:paraId="7885B623" w14:textId="1CD71ECA" w:rsidR="007748ED" w:rsidRDefault="00871E22" w:rsidP="007748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7748E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7748ED">
        <w:rPr>
          <w:b/>
          <w:noProof/>
          <w:sz w:val="24"/>
        </w:rPr>
        <w:t xml:space="preserve">, </w:t>
      </w:r>
      <w:r w:rsidR="009526E6">
        <w:fldChar w:fldCharType="begin"/>
      </w:r>
      <w:r w:rsidR="009526E6">
        <w:instrText xml:space="preserve"> DOCPROPERTY  StartDate  \* MERGEFORMAT </w:instrText>
      </w:r>
      <w:r w:rsidR="009526E6">
        <w:fldChar w:fldCharType="separate"/>
      </w:r>
      <w:r w:rsidR="007748ED"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748ED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7748ED" w:rsidRPr="00BA51D9">
        <w:rPr>
          <w:b/>
          <w:noProof/>
          <w:sz w:val="24"/>
        </w:rPr>
        <w:t xml:space="preserve"> 2023</w:t>
      </w:r>
      <w:r w:rsidR="009526E6">
        <w:rPr>
          <w:b/>
          <w:noProof/>
          <w:sz w:val="24"/>
        </w:rPr>
        <w:fldChar w:fldCharType="end"/>
      </w:r>
      <w:r w:rsidR="007748ED">
        <w:rPr>
          <w:b/>
          <w:noProof/>
          <w:sz w:val="24"/>
        </w:rPr>
        <w:t xml:space="preserve"> </w:t>
      </w:r>
      <w:r w:rsidR="006D2259">
        <w:rPr>
          <w:b/>
          <w:noProof/>
          <w:sz w:val="24"/>
        </w:rPr>
        <w:t>–</w:t>
      </w:r>
      <w:r w:rsidR="007748ED">
        <w:rPr>
          <w:b/>
          <w:noProof/>
          <w:sz w:val="24"/>
        </w:rPr>
        <w:t xml:space="preserve"> </w:t>
      </w:r>
      <w:r w:rsidR="009526E6">
        <w:fldChar w:fldCharType="begin"/>
      </w:r>
      <w:r w:rsidR="009526E6">
        <w:instrText xml:space="preserve"> DOCPROPERTY  EndDate  \* MERGEFORMAT </w:instrText>
      </w:r>
      <w:r w:rsidR="009526E6">
        <w:fldChar w:fldCharType="separate"/>
      </w:r>
      <w:r w:rsidR="006D2259">
        <w:rPr>
          <w:b/>
          <w:noProof/>
          <w:sz w:val="24"/>
        </w:rPr>
        <w:t>26th</w:t>
      </w:r>
      <w:r w:rsidR="007748ED" w:rsidRPr="00BA51D9">
        <w:rPr>
          <w:b/>
          <w:noProof/>
          <w:sz w:val="24"/>
        </w:rPr>
        <w:t xml:space="preserve"> Ma</w:t>
      </w:r>
      <w:r w:rsidR="006D2259">
        <w:rPr>
          <w:b/>
          <w:noProof/>
          <w:sz w:val="24"/>
        </w:rPr>
        <w:t>y</w:t>
      </w:r>
      <w:r w:rsidR="007748ED" w:rsidRPr="00BA51D9">
        <w:rPr>
          <w:b/>
          <w:noProof/>
          <w:sz w:val="24"/>
        </w:rPr>
        <w:t xml:space="preserve"> 2023</w:t>
      </w:r>
      <w:r w:rsidR="009526E6">
        <w:rPr>
          <w:b/>
          <w:noProof/>
          <w:sz w:val="24"/>
        </w:rPr>
        <w:fldChar w:fldCharType="end"/>
      </w:r>
    </w:p>
    <w:p w14:paraId="35952388" w14:textId="6599F210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9526E6" w:rsidRPr="009526E6">
        <w:rPr>
          <w:rFonts w:ascii="Arial" w:hAnsi="Arial" w:cs="Arial"/>
          <w:sz w:val="24"/>
          <w:szCs w:val="24"/>
        </w:rPr>
        <w:t>5.4.17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29B4CBF1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805662" w:rsidRPr="00805662">
        <w:rPr>
          <w:rFonts w:ascii="Arial" w:hAnsi="Arial" w:cs="Arial"/>
          <w:sz w:val="24"/>
          <w:szCs w:val="24"/>
        </w:rPr>
        <w:t>On FR</w:t>
      </w:r>
      <w:r w:rsidR="00245F7F">
        <w:rPr>
          <w:rFonts w:ascii="Arial" w:hAnsi="Arial" w:cs="Arial"/>
          <w:sz w:val="24"/>
          <w:szCs w:val="24"/>
        </w:rPr>
        <w:t>2</w:t>
      </w:r>
      <w:r w:rsidR="00805662" w:rsidRPr="00805662">
        <w:rPr>
          <w:rFonts w:ascii="Arial" w:hAnsi="Arial" w:cs="Arial"/>
          <w:sz w:val="24"/>
          <w:szCs w:val="24"/>
        </w:rPr>
        <w:t xml:space="preserve"> PC1 Priority 1 test cases pending for FR2b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708F3BD7" w:rsidR="000606FD" w:rsidRDefault="00FD576F" w:rsidP="005E2166">
      <w:pPr>
        <w:rPr>
          <w:rFonts w:eastAsia="Batang"/>
        </w:rPr>
      </w:pPr>
      <w:r>
        <w:rPr>
          <w:rFonts w:eastAsia="Batang"/>
        </w:rPr>
        <w:t>As captured in</w:t>
      </w:r>
      <w:r w:rsidR="006C15E1">
        <w:rPr>
          <w:rFonts w:eastAsia="Batang"/>
        </w:rPr>
        <w:t xml:space="preserve"> </w:t>
      </w:r>
      <w:r w:rsidR="006C15E1">
        <w:rPr>
          <w:rFonts w:eastAsia="Batang"/>
        </w:rPr>
        <w:fldChar w:fldCharType="begin"/>
      </w:r>
      <w:r w:rsidR="006C15E1">
        <w:rPr>
          <w:rFonts w:eastAsia="Batang"/>
        </w:rPr>
        <w:instrText xml:space="preserve"> REF _Ref115945454 \n \h </w:instrText>
      </w:r>
      <w:r w:rsidR="006C15E1">
        <w:rPr>
          <w:rFonts w:eastAsia="Batang"/>
        </w:rPr>
      </w:r>
      <w:r w:rsidR="006C15E1">
        <w:rPr>
          <w:rFonts w:eastAsia="Batang"/>
        </w:rPr>
        <w:fldChar w:fldCharType="separate"/>
      </w:r>
      <w:r w:rsidR="006C15E1">
        <w:rPr>
          <w:rFonts w:eastAsia="Batang"/>
        </w:rPr>
        <w:t>[1]</w:t>
      </w:r>
      <w:r w:rsidR="006C15E1">
        <w:rPr>
          <w:rFonts w:eastAsia="Batang"/>
        </w:rPr>
        <w:fldChar w:fldCharType="end"/>
      </w:r>
      <w:r>
        <w:rPr>
          <w:rFonts w:eastAsia="Batang"/>
        </w:rPr>
        <w:t>,</w:t>
      </w:r>
      <w:r w:rsidR="006C15E1">
        <w:rPr>
          <w:rFonts w:eastAsia="Batang"/>
        </w:rPr>
        <w:t xml:space="preserve"> good progress has been made in the definition of FR2 MU</w:t>
      </w:r>
      <w:r w:rsidR="00170EA2">
        <w:rPr>
          <w:rFonts w:eastAsia="Batang"/>
        </w:rPr>
        <w:t xml:space="preserve"> and TT</w:t>
      </w:r>
      <w:r w:rsidR="006C15E1">
        <w:rPr>
          <w:rFonts w:eastAsia="Batang"/>
        </w:rPr>
        <w:t xml:space="preserve"> for </w:t>
      </w:r>
      <w:r w:rsidR="005848B5">
        <w:rPr>
          <w:rFonts w:eastAsia="Batang"/>
        </w:rPr>
        <w:t>PC1</w:t>
      </w:r>
      <w:r w:rsidR="00365ACD">
        <w:rPr>
          <w:rFonts w:eastAsia="Batang"/>
        </w:rPr>
        <w:t xml:space="preserve"> test cases</w:t>
      </w:r>
      <w:r w:rsidR="00233D8D">
        <w:rPr>
          <w:rFonts w:eastAsia="Batang"/>
        </w:rPr>
        <w:t xml:space="preserve"> during previous meeting</w:t>
      </w:r>
      <w:r w:rsidR="005848B5">
        <w:rPr>
          <w:rFonts w:eastAsia="Batang"/>
        </w:rPr>
        <w:t xml:space="preserve">. However, </w:t>
      </w:r>
      <w:r w:rsidR="00C13F5C">
        <w:rPr>
          <w:rFonts w:eastAsia="Batang"/>
        </w:rPr>
        <w:t>MU and TT is still pending for FR2</w:t>
      </w:r>
      <w:r w:rsidR="00233D8D">
        <w:rPr>
          <w:rFonts w:eastAsia="Batang"/>
        </w:rPr>
        <w:t xml:space="preserve">b for </w:t>
      </w:r>
      <w:r w:rsidR="0030372C">
        <w:rPr>
          <w:rFonts w:eastAsia="Batang"/>
        </w:rPr>
        <w:t>3</w:t>
      </w:r>
      <w:r w:rsidR="005B6362">
        <w:rPr>
          <w:rFonts w:eastAsia="Batang"/>
        </w:rPr>
        <w:t xml:space="preserve"> Priority </w:t>
      </w:r>
      <w:r w:rsidR="00296BC3">
        <w:rPr>
          <w:rFonts w:eastAsia="Batang"/>
        </w:rPr>
        <w:t>1 test cases</w:t>
      </w:r>
      <w:r w:rsidR="00B63715">
        <w:rPr>
          <w:rFonts w:eastAsia="Batang"/>
        </w:rPr>
        <w:t>: SEM test</w:t>
      </w:r>
      <w:r w:rsidR="0030372C">
        <w:rPr>
          <w:rFonts w:eastAsia="Batang"/>
        </w:rPr>
        <w:t xml:space="preserve">, </w:t>
      </w:r>
      <w:r w:rsidR="00B63715">
        <w:rPr>
          <w:rFonts w:eastAsia="Batang"/>
        </w:rPr>
        <w:t>ACS (Case 1) test</w:t>
      </w:r>
      <w:r w:rsidR="0030372C">
        <w:rPr>
          <w:rFonts w:eastAsia="Batang"/>
        </w:rPr>
        <w:t xml:space="preserve"> and IBB test</w:t>
      </w:r>
      <w:r w:rsidR="006C2AF9" w:rsidRPr="00354167">
        <w:rPr>
          <w:rFonts w:eastAsia="Batang"/>
        </w:rPr>
        <w:t>.</w:t>
      </w:r>
    </w:p>
    <w:p w14:paraId="21B1583E" w14:textId="1775852C" w:rsidR="00B63715" w:rsidRPr="00354167" w:rsidRDefault="00B63715" w:rsidP="005E2166">
      <w:pPr>
        <w:rPr>
          <w:rFonts w:eastAsia="Batang"/>
        </w:rPr>
      </w:pPr>
      <w:r>
        <w:rPr>
          <w:rFonts w:eastAsia="Batang"/>
        </w:rPr>
        <w:t xml:space="preserve">The aim of this document is to progress </w:t>
      </w:r>
      <w:r w:rsidR="00BA3F2B">
        <w:rPr>
          <w:rFonts w:eastAsia="Batang"/>
        </w:rPr>
        <w:t>and close the MU and TT definition in FR2</w:t>
      </w:r>
      <w:r w:rsidR="00265BD0">
        <w:rPr>
          <w:rFonts w:eastAsia="Batang"/>
        </w:rPr>
        <w:t>b</w:t>
      </w:r>
      <w:r w:rsidR="00BA3F2B">
        <w:rPr>
          <w:rFonts w:eastAsia="Batang"/>
        </w:rPr>
        <w:t xml:space="preserve"> for PC1 for all Priority 1 test cases.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170AD432" w14:textId="796A5A2F" w:rsidR="00DB6CE7" w:rsidRPr="00423F6F" w:rsidRDefault="00E05E47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SEM</w:t>
      </w:r>
      <w:r w:rsidR="0030372C">
        <w:rPr>
          <w:rFonts w:eastAsia="Times New Roman"/>
          <w:lang w:eastAsia="en-GB"/>
        </w:rPr>
        <w:t xml:space="preserve"> test case</w:t>
      </w:r>
    </w:p>
    <w:p w14:paraId="58AA6AD0" w14:textId="7BF4C1AA" w:rsidR="00E05E47" w:rsidRDefault="00FB7E25" w:rsidP="00DB6CE7">
      <w:r>
        <w:t>It is pending to close agreement around the influence of noise</w:t>
      </w:r>
      <w:r w:rsidR="00663229">
        <w:t xml:space="preserve">. </w:t>
      </w:r>
      <w:r w:rsidR="00421B0E">
        <w:t>For SEM, i</w:t>
      </w:r>
      <w:r w:rsidR="00663229">
        <w:t xml:space="preserve">n next table there is a resubmission of the </w:t>
      </w:r>
      <w:r w:rsidR="00421B0E">
        <w:t xml:space="preserve">proposal made in </w:t>
      </w:r>
      <w:r w:rsidR="00AD7887">
        <w:fldChar w:fldCharType="begin"/>
      </w:r>
      <w:r w:rsidR="00AD7887">
        <w:instrText xml:space="preserve"> REF _Ref132643953 \n \h </w:instrText>
      </w:r>
      <w:r w:rsidR="00AD7887">
        <w:fldChar w:fldCharType="separate"/>
      </w:r>
      <w:r w:rsidR="00AD7887">
        <w:t>[2]</w:t>
      </w:r>
      <w:r w:rsidR="00AD7887">
        <w:fldChar w:fldCharType="end"/>
      </w:r>
      <w:r w:rsidR="00421B0E">
        <w:t>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838"/>
        <w:gridCol w:w="2552"/>
        <w:gridCol w:w="1984"/>
        <w:gridCol w:w="2257"/>
      </w:tblGrid>
      <w:tr w:rsidR="00A722BD" w:rsidRPr="00C3732E" w14:paraId="389EB357" w14:textId="77777777" w:rsidTr="004E2094">
        <w:trPr>
          <w:cantSplit/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E87B2F" w14:textId="77777777" w:rsidR="00A722BD" w:rsidRPr="00C3732E" w:rsidRDefault="00A722BD" w:rsidP="004E2094">
            <w:pPr>
              <w:pStyle w:val="TAH"/>
              <w:rPr>
                <w:lang w:eastAsia="en-GB"/>
              </w:rPr>
            </w:pPr>
            <w:r w:rsidRPr="00C3732E">
              <w:rPr>
                <w:lang w:eastAsia="en-GB"/>
              </w:rPr>
              <w:t>Test case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CAA141" w14:textId="77777777" w:rsidR="00A722BD" w:rsidRPr="00C3732E" w:rsidRDefault="00A722BD" w:rsidP="004E2094">
            <w:pPr>
              <w:pStyle w:val="TAH"/>
              <w:rPr>
                <w:lang w:eastAsia="en-GB"/>
              </w:rPr>
            </w:pPr>
            <w:r w:rsidRPr="00C3732E">
              <w:rPr>
                <w:lang w:eastAsia="en-GB"/>
              </w:rPr>
              <w:t>Frequency 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98F2A8" w14:textId="77777777" w:rsidR="00A722BD" w:rsidRPr="00C3732E" w:rsidRDefault="00A722BD" w:rsidP="004E2094">
            <w:pPr>
              <w:pStyle w:val="TAH"/>
              <w:rPr>
                <w:lang w:eastAsia="en-GB"/>
              </w:rPr>
            </w:pPr>
            <w:r w:rsidRPr="00C3732E">
              <w:rPr>
                <w:lang w:eastAsia="en-GB"/>
              </w:rPr>
              <w:t>Relaxation [dB]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A21223" w14:textId="77777777" w:rsidR="00A722BD" w:rsidRPr="00C3732E" w:rsidRDefault="00A722BD" w:rsidP="004E2094">
            <w:pPr>
              <w:pStyle w:val="TAH"/>
              <w:rPr>
                <w:lang w:eastAsia="en-GB"/>
              </w:rPr>
            </w:pPr>
            <w:r w:rsidRPr="00C3732E">
              <w:rPr>
                <w:lang w:eastAsia="en-GB"/>
              </w:rPr>
              <w:t>Influence of noise [dB]</w:t>
            </w:r>
          </w:p>
        </w:tc>
      </w:tr>
      <w:tr w:rsidR="00DD7312" w:rsidRPr="00C3732E" w14:paraId="21D8A4DD" w14:textId="77777777" w:rsidTr="004E2094">
        <w:trPr>
          <w:cantSplit/>
          <w:tblHeader/>
          <w:jc w:val="center"/>
        </w:trPr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C578B" w14:textId="1C6A172A" w:rsidR="00DD7312" w:rsidRPr="00C3732E" w:rsidRDefault="00003B64" w:rsidP="00003B64">
            <w:pPr>
              <w:spacing w:after="0"/>
              <w:jc w:val="center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  <w:r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  <w:t>SEM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5912" w14:textId="5AC73CC6" w:rsidR="00DD7312" w:rsidRPr="00C3732E" w:rsidRDefault="00DD7312" w:rsidP="00DD7312">
            <w:pPr>
              <w:pStyle w:val="TAC"/>
            </w:pPr>
            <w:r w:rsidRPr="00C3732E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DEC2" w14:textId="28736E8B" w:rsidR="00DD7312" w:rsidRPr="00C3732E" w:rsidRDefault="00DD7312" w:rsidP="00DD7312">
            <w:pPr>
              <w:pStyle w:val="TAC"/>
            </w:pPr>
            <w:r w:rsidRPr="00C3732E"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7C6F" w14:textId="4D94E2B8" w:rsidR="00DD7312" w:rsidRPr="00C3732E" w:rsidRDefault="00DD7312" w:rsidP="00DD7312">
            <w:pPr>
              <w:pStyle w:val="TAC"/>
            </w:pPr>
            <w:r w:rsidRPr="00C3732E">
              <w:t>2.08 (NOTE 1,</w:t>
            </w:r>
            <w:r w:rsidR="001F2900">
              <w:t>2</w:t>
            </w:r>
            <w:r w:rsidRPr="00C3732E">
              <w:t>)</w:t>
            </w:r>
          </w:p>
        </w:tc>
      </w:tr>
      <w:tr w:rsidR="00DD7312" w:rsidRPr="00C3732E" w14:paraId="198CF775" w14:textId="77777777" w:rsidTr="004E2094">
        <w:trPr>
          <w:cantSplit/>
          <w:tblHeader/>
          <w:jc w:val="center"/>
        </w:trPr>
        <w:tc>
          <w:tcPr>
            <w:tcW w:w="863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57D4E3B" w14:textId="1954DAAC" w:rsidR="00DD7312" w:rsidRPr="00C3732E" w:rsidRDefault="00DD7312" w:rsidP="00DD7312">
            <w:pPr>
              <w:pStyle w:val="TAC"/>
              <w:jc w:val="left"/>
            </w:pPr>
            <w:r w:rsidRPr="00C3732E">
              <w:t xml:space="preserve">NOTE 1: values assuming up to 6% of grid points with EIRP &gt; 43dBm, as agreed in </w:t>
            </w:r>
            <w:r w:rsidRPr="00C3732E">
              <w:fldChar w:fldCharType="begin"/>
            </w:r>
            <w:r w:rsidRPr="00C3732E">
              <w:instrText xml:space="preserve"> REF _Ref124258807 \r \h  \* MERGEFORMAT </w:instrText>
            </w:r>
            <w:r w:rsidRPr="00C3732E">
              <w:fldChar w:fldCharType="separate"/>
            </w:r>
            <w:r w:rsidR="00FC2111">
              <w:t>[3]</w:t>
            </w:r>
            <w:r w:rsidRPr="00C3732E">
              <w:fldChar w:fldCharType="end"/>
            </w:r>
            <w:r w:rsidRPr="00C3732E">
              <w:t>.</w:t>
            </w:r>
          </w:p>
          <w:p w14:paraId="3226E787" w14:textId="2960122C" w:rsidR="00DD7312" w:rsidRPr="00C3732E" w:rsidRDefault="00DD7312" w:rsidP="00DD7312">
            <w:pPr>
              <w:pStyle w:val="TAC"/>
              <w:tabs>
                <w:tab w:val="left" w:pos="1515"/>
              </w:tabs>
              <w:jc w:val="left"/>
            </w:pPr>
            <w:r w:rsidRPr="00C3732E">
              <w:t xml:space="preserve">NOTE </w:t>
            </w:r>
            <w:r w:rsidR="001F2900">
              <w:t>2</w:t>
            </w:r>
            <w:r w:rsidRPr="00C3732E">
              <w:t>: values assuming SNR = -8dB for points with EIRP &gt; 43dBm / SNR = 6dB otherwise.</w:t>
            </w:r>
          </w:p>
        </w:tc>
      </w:tr>
    </w:tbl>
    <w:p w14:paraId="4FFDF152" w14:textId="247567A6" w:rsidR="00A722BD" w:rsidRDefault="00A722BD" w:rsidP="00A722BD">
      <w:pPr>
        <w:pStyle w:val="ListParagraph"/>
        <w:numPr>
          <w:ilvl w:val="0"/>
          <w:numId w:val="0"/>
        </w:numPr>
        <w:ind w:left="720"/>
        <w:jc w:val="center"/>
      </w:pPr>
      <w:r w:rsidRPr="00C3732E">
        <w:rPr>
          <w:b/>
          <w:bCs/>
        </w:rPr>
        <w:t>Table 1.</w:t>
      </w:r>
      <w:r w:rsidRPr="00C3732E">
        <w:t xml:space="preserve"> Proposed influence of noise for PC1 devices for </w:t>
      </w:r>
      <w:r w:rsidR="00DD7312">
        <w:t>SEM test case in FR2b</w:t>
      </w:r>
      <w:r w:rsidRPr="00C3732E">
        <w:t>.</w:t>
      </w:r>
    </w:p>
    <w:p w14:paraId="4F635706" w14:textId="5CBA9844" w:rsidR="0003288C" w:rsidRPr="00E66C37" w:rsidRDefault="0003288C" w:rsidP="0003288C">
      <w:pPr>
        <w:pStyle w:val="Caption"/>
      </w:pPr>
      <w:bookmarkStart w:id="3" w:name="_Ref13264505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85950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>For SEM test case, define MU and TT</w:t>
      </w:r>
      <w:r w:rsidR="001152DB">
        <w:rPr>
          <w:b w:val="0"/>
          <w:bCs/>
        </w:rPr>
        <w:t xml:space="preserve"> considering the influence of noise of 2.08dB in FR2b.</w:t>
      </w:r>
      <w:bookmarkEnd w:id="3"/>
    </w:p>
    <w:p w14:paraId="3A6D410A" w14:textId="77777777" w:rsidR="0003288C" w:rsidRPr="00C3732E" w:rsidRDefault="0003288C" w:rsidP="0003288C"/>
    <w:p w14:paraId="0F346C94" w14:textId="75028FED" w:rsidR="00394D7F" w:rsidRPr="00423F6F" w:rsidRDefault="0030372C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ACS </w:t>
      </w:r>
      <w:r>
        <w:rPr>
          <w:rFonts w:eastAsia="Times New Roman"/>
          <w:lang w:val="en-US" w:eastAsia="en-GB"/>
        </w:rPr>
        <w:t>(Case 1) and IBB test cases</w:t>
      </w:r>
    </w:p>
    <w:p w14:paraId="693621BC" w14:textId="11440361" w:rsidR="00394D7F" w:rsidRDefault="0030372C" w:rsidP="00394D7F">
      <w:r>
        <w:t xml:space="preserve">MU and TT is the same for these 2 test cases. </w:t>
      </w:r>
      <w:r w:rsidR="0026488C">
        <w:t>For them, total MU is essentially the combination of MU for the wanted signal and the MU of the interferer signal where both are essentially the MU</w:t>
      </w:r>
      <w:r w:rsidR="008B75CB">
        <w:t xml:space="preserve"> of the REFSENS test case. </w:t>
      </w:r>
    </w:p>
    <w:p w14:paraId="46D97FCA" w14:textId="3ECCB326" w:rsidR="00F0016D" w:rsidRDefault="00F0016D" w:rsidP="00394D7F">
      <w:r>
        <w:t xml:space="preserve">In previous meeting, PC1 MU was defined for FR2b </w:t>
      </w:r>
      <w:r w:rsidR="0003288C">
        <w:t>in REFSENS</w:t>
      </w:r>
      <w:r w:rsidR="00585950">
        <w:t xml:space="preserve"> being it equal to </w:t>
      </w:r>
      <w:r w:rsidR="005B3427">
        <w:t>the one for FR2</w:t>
      </w:r>
      <w:r w:rsidR="00DA69E7">
        <w:t>a</w:t>
      </w:r>
      <w:r w:rsidR="00EE0161">
        <w:t xml:space="preserve"> as no MU factor in this tes</w:t>
      </w:r>
      <w:r w:rsidR="001E58C7">
        <w:t>t</w:t>
      </w:r>
      <w:r w:rsidR="00EE0161">
        <w:t xml:space="preserve"> was identified to </w:t>
      </w:r>
      <w:r w:rsidR="00DA69E7">
        <w:t>need an special consideration per frequency range</w:t>
      </w:r>
      <w:r w:rsidR="005B3427">
        <w:t xml:space="preserve">. </w:t>
      </w:r>
    </w:p>
    <w:p w14:paraId="7D3FFC5E" w14:textId="60E3C1DE" w:rsidR="005B3427" w:rsidRDefault="001E58C7" w:rsidP="00394D7F">
      <w:r>
        <w:t>Therefore</w:t>
      </w:r>
      <w:r w:rsidR="005B3427">
        <w:t>, for ACS (Case 1) test and IBB test, it is proposed to def</w:t>
      </w:r>
      <w:r w:rsidR="00481E5A">
        <w:t xml:space="preserve">ine also MU and TT for FR2b </w:t>
      </w:r>
      <w:r w:rsidR="004E72DE">
        <w:t>same as defined for FR2a.</w:t>
      </w:r>
    </w:p>
    <w:p w14:paraId="5CB91D6F" w14:textId="4F3F6785" w:rsidR="00394D7F" w:rsidRPr="00E66C37" w:rsidRDefault="00394D7F" w:rsidP="00394D7F">
      <w:pPr>
        <w:pStyle w:val="Caption"/>
      </w:pPr>
      <w:bookmarkStart w:id="4" w:name="_Ref12415565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71B84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4E72DE" w:rsidRPr="004E72DE">
        <w:rPr>
          <w:b w:val="0"/>
          <w:bCs/>
        </w:rPr>
        <w:t>For ACS (Case 1) test and IBB test, define MU and TT for FR2b same as defined for FR2a</w:t>
      </w:r>
      <w:r w:rsidRPr="008E7AF7">
        <w:rPr>
          <w:b w:val="0"/>
          <w:bCs/>
        </w:rPr>
        <w:t>.</w:t>
      </w:r>
      <w:bookmarkEnd w:id="4"/>
    </w:p>
    <w:p w14:paraId="6C3E3BE4" w14:textId="77777777" w:rsidR="00714742" w:rsidRDefault="00714742" w:rsidP="00394D7F"/>
    <w:p w14:paraId="7577C7AF" w14:textId="0C1FC9C2" w:rsidR="00394D7F" w:rsidRDefault="001C165B" w:rsidP="00394D7F">
      <w:r>
        <w:t xml:space="preserve">However, </w:t>
      </w:r>
      <w:r w:rsidR="00714742">
        <w:t>for PC1 no relax</w:t>
      </w:r>
      <w:r w:rsidR="00FA440D">
        <w:t>a</w:t>
      </w:r>
      <w:r w:rsidR="00714742">
        <w:t xml:space="preserve">tion will </w:t>
      </w:r>
      <w:r w:rsidR="00B72D2C">
        <w:t xml:space="preserve">be </w:t>
      </w:r>
      <w:r w:rsidR="00FA440D">
        <w:t>required in FR2 compared to PC3</w:t>
      </w:r>
      <w:r w:rsidR="000373BE">
        <w:t xml:space="preserve"> because the required DL power is significantly smaller</w:t>
      </w:r>
      <w:r w:rsidR="00FA440D">
        <w:t xml:space="preserve">. As discussed in </w:t>
      </w:r>
      <w:r w:rsidR="00F6358D">
        <w:fldChar w:fldCharType="begin"/>
      </w:r>
      <w:r w:rsidR="00F6358D">
        <w:instrText xml:space="preserve"> REF _Ref132708034 \n \h </w:instrText>
      </w:r>
      <w:r w:rsidR="00F6358D">
        <w:fldChar w:fldCharType="separate"/>
      </w:r>
      <w:r w:rsidR="00F6358D">
        <w:t>[5]</w:t>
      </w:r>
      <w:r w:rsidR="00F6358D">
        <w:fldChar w:fldCharType="end"/>
      </w:r>
      <w:r w:rsidR="00FA440D">
        <w:t>,</w:t>
      </w:r>
      <w:r w:rsidR="00F6358D">
        <w:t xml:space="preserve"> the assumed DL power available for the modulated interferer</w:t>
      </w:r>
      <w:r w:rsidR="00D740A4">
        <w:t xml:space="preserve"> in FR2b</w:t>
      </w:r>
      <w:r w:rsidR="00F6358D">
        <w:t xml:space="preserve"> is </w:t>
      </w:r>
      <w:r w:rsidR="00605210">
        <w:t>-56dBm</w:t>
      </w:r>
      <w:r w:rsidR="00443596">
        <w:t xml:space="preserve"> per polarization. </w:t>
      </w:r>
      <w:r w:rsidR="00D740A4">
        <w:t xml:space="preserve">According to </w:t>
      </w:r>
      <w:r w:rsidR="0081038D">
        <w:fldChar w:fldCharType="begin"/>
      </w:r>
      <w:r w:rsidR="0081038D">
        <w:instrText xml:space="preserve"> REF _Ref132709076 \n \h </w:instrText>
      </w:r>
      <w:r w:rsidR="0081038D">
        <w:fldChar w:fldCharType="separate"/>
      </w:r>
      <w:r w:rsidR="0081038D">
        <w:t>[6]</w:t>
      </w:r>
      <w:r w:rsidR="0081038D">
        <w:fldChar w:fldCharType="end"/>
      </w:r>
      <w:r w:rsidR="00D740A4">
        <w:t xml:space="preserve">, </w:t>
      </w:r>
      <w:r w:rsidR="00B41503">
        <w:t xml:space="preserve">for PC1 the resulting required power for the modulated interferer for 100MHz case will be </w:t>
      </w:r>
      <w:r w:rsidR="001B19E8">
        <w:t xml:space="preserve">REFSENS + 34.5dB – 3dB per polarization, that is, </w:t>
      </w:r>
      <w:r w:rsidR="00DC41F8">
        <w:t>-91.5dBm/100MHz + 34.5dB -3dB = -60dBm</w:t>
      </w:r>
      <w:r w:rsidR="008E381B">
        <w:t>, hence no relaxation required.</w:t>
      </w:r>
    </w:p>
    <w:p w14:paraId="7D0F3642" w14:textId="7158F502" w:rsidR="008E381B" w:rsidRPr="00E66C37" w:rsidRDefault="002472A5" w:rsidP="008E381B">
      <w:pPr>
        <w:pStyle w:val="Caption"/>
      </w:pPr>
      <w:r>
        <w:lastRenderedPageBreak/>
        <w:t>Observation 1</w:t>
      </w:r>
      <w:r w:rsidR="008E381B" w:rsidRPr="007E6ED0">
        <w:rPr>
          <w:bCs/>
        </w:rPr>
        <w:t>.</w:t>
      </w:r>
      <w:r w:rsidR="008E381B" w:rsidRPr="007E6ED0">
        <w:t xml:space="preserve"> </w:t>
      </w:r>
      <w:r w:rsidR="008E381B" w:rsidRPr="004E72DE">
        <w:rPr>
          <w:b w:val="0"/>
          <w:bCs/>
        </w:rPr>
        <w:t xml:space="preserve">For ACS (Case 1) test and IBB test, </w:t>
      </w:r>
      <w:r>
        <w:rPr>
          <w:b w:val="0"/>
          <w:bCs/>
        </w:rPr>
        <w:t>no relaxation is required for PC1 in FR2b</w:t>
      </w:r>
      <w:r w:rsidR="008E381B" w:rsidRPr="008E7AF7">
        <w:rPr>
          <w:b w:val="0"/>
          <w:bCs/>
        </w:rPr>
        <w:t>.</w:t>
      </w:r>
    </w:p>
    <w:p w14:paraId="43F5797D" w14:textId="627FF25B" w:rsidR="00F46E30" w:rsidRPr="00F46E30" w:rsidRDefault="00F46E30" w:rsidP="00C42EBF"/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34D211C5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565720CB" w14:textId="1D612A1C" w:rsidR="006A68BD" w:rsidRPr="00A42EAE" w:rsidRDefault="00A42EAE" w:rsidP="006A68BD">
      <w:r w:rsidRPr="00A42EAE">
        <w:fldChar w:fldCharType="begin"/>
      </w:r>
      <w:r w:rsidRPr="00A42EAE">
        <w:instrText xml:space="preserve"> REF _Ref132645057 \h  \* MERGEFORMAT </w:instrText>
      </w:r>
      <w:r w:rsidRPr="00A42EAE">
        <w:fldChar w:fldCharType="separate"/>
      </w:r>
      <w:r w:rsidR="008618C0" w:rsidRPr="008618C0">
        <w:rPr>
          <w:b/>
          <w:bCs/>
        </w:rPr>
        <w:t xml:space="preserve">Proposal </w:t>
      </w:r>
      <w:r w:rsidR="008618C0" w:rsidRPr="008618C0">
        <w:rPr>
          <w:b/>
          <w:bCs/>
          <w:noProof/>
        </w:rPr>
        <w:t>1.</w:t>
      </w:r>
      <w:r w:rsidR="008618C0" w:rsidRPr="007E6ED0">
        <w:t xml:space="preserve"> </w:t>
      </w:r>
      <w:r w:rsidR="008618C0" w:rsidRPr="008618C0">
        <w:t>For SEM test case, define MU and TT considering the influence of noise of 2.08dB in FR2b.</w:t>
      </w:r>
      <w:r w:rsidRPr="00A42EAE">
        <w:fldChar w:fldCharType="end"/>
      </w:r>
    </w:p>
    <w:p w14:paraId="18708DBF" w14:textId="358F56DB" w:rsidR="00E71B84" w:rsidRPr="00A42EAE" w:rsidRDefault="00E71B84" w:rsidP="006A68BD">
      <w:r w:rsidRPr="00A42EAE">
        <w:fldChar w:fldCharType="begin"/>
      </w:r>
      <w:r w:rsidRPr="00A42EAE">
        <w:instrText xml:space="preserve"> REF _Ref124155652 \h  \* MERGEFORMAT </w:instrText>
      </w:r>
      <w:r w:rsidRPr="00A42EAE">
        <w:fldChar w:fldCharType="separate"/>
      </w:r>
      <w:r w:rsidR="008618C0" w:rsidRPr="008618C0">
        <w:rPr>
          <w:b/>
          <w:bCs/>
        </w:rPr>
        <w:t>Proposal 2.</w:t>
      </w:r>
      <w:r w:rsidR="008618C0" w:rsidRPr="007E6ED0">
        <w:t xml:space="preserve"> </w:t>
      </w:r>
      <w:r w:rsidR="008618C0" w:rsidRPr="008618C0">
        <w:t>For ACS (Case 1) test and IBB test, define MU and TT for FR2b same as defined for FR2a.</w:t>
      </w:r>
      <w:r w:rsidRPr="00A42EAE">
        <w:fldChar w:fldCharType="end"/>
      </w:r>
    </w:p>
    <w:p w14:paraId="1E280D05" w14:textId="63C400A0" w:rsidR="002472A5" w:rsidRPr="00E66C37" w:rsidRDefault="002472A5" w:rsidP="002472A5">
      <w:pPr>
        <w:pStyle w:val="Caption"/>
      </w:pPr>
      <w:r>
        <w:t>Observation 1</w:t>
      </w:r>
      <w:r w:rsidRPr="007E6ED0">
        <w:rPr>
          <w:bCs/>
        </w:rPr>
        <w:t>.</w:t>
      </w:r>
      <w:r w:rsidRPr="007E6ED0">
        <w:t xml:space="preserve"> </w:t>
      </w:r>
      <w:r w:rsidRPr="004E72DE">
        <w:rPr>
          <w:b w:val="0"/>
          <w:bCs/>
        </w:rPr>
        <w:t xml:space="preserve">For ACS (Case 1) test and IBB test, </w:t>
      </w:r>
      <w:r>
        <w:rPr>
          <w:b w:val="0"/>
          <w:bCs/>
        </w:rPr>
        <w:t>no relaxation is required for PC1 in FR2b</w:t>
      </w:r>
      <w:r w:rsidRPr="008E7AF7">
        <w:rPr>
          <w:b w:val="0"/>
          <w:bCs/>
        </w:rPr>
        <w:t>.</w:t>
      </w:r>
    </w:p>
    <w:p w14:paraId="2411B4F0" w14:textId="77777777" w:rsidR="006A68BD" w:rsidRDefault="006A68BD" w:rsidP="00F6267E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7F2F697A" w14:textId="2924E9BA" w:rsidR="00FA78E6" w:rsidRPr="00C3732E" w:rsidRDefault="00FA78E6" w:rsidP="00FA78E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115945454"/>
      <w:bookmarkStart w:id="6" w:name="_Ref124155470"/>
      <w:r w:rsidRPr="00C3732E">
        <w:rPr>
          <w:rFonts w:eastAsiaTheme="minorEastAsia"/>
        </w:rPr>
        <w:t>R5-2</w:t>
      </w:r>
      <w:r w:rsidR="002862F5">
        <w:rPr>
          <w:rFonts w:eastAsiaTheme="minorEastAsia"/>
        </w:rPr>
        <w:t>31060</w:t>
      </w:r>
      <w:r w:rsidRPr="00C3732E">
        <w:rPr>
          <w:rFonts w:eastAsiaTheme="minorEastAsia"/>
        </w:rPr>
        <w:t>, “</w:t>
      </w:r>
      <w:r w:rsidRPr="00FA78E6">
        <w:rPr>
          <w:rFonts w:eastAsiaTheme="minorEastAsia"/>
        </w:rPr>
        <w:t>Handling of FR2 PC1 in RAN5</w:t>
      </w:r>
      <w:r w:rsidRPr="00C3732E">
        <w:rPr>
          <w:rFonts w:eastAsiaTheme="minorEastAsia"/>
        </w:rPr>
        <w:t>”, NTT DOCOMO, INC., RAN5#9</w:t>
      </w:r>
      <w:r w:rsidR="002862F5">
        <w:rPr>
          <w:rFonts w:eastAsiaTheme="minorEastAsia"/>
        </w:rPr>
        <w:t>8</w:t>
      </w:r>
      <w:bookmarkEnd w:id="5"/>
      <w:r w:rsidRPr="00C3732E">
        <w:t xml:space="preserve"> </w:t>
      </w:r>
    </w:p>
    <w:p w14:paraId="58EE608F" w14:textId="7DE0C468" w:rsidR="00FA78E6" w:rsidRPr="00C3732E" w:rsidRDefault="00FA78E6" w:rsidP="00FA78E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124258280"/>
      <w:bookmarkStart w:id="8" w:name="_Ref132643953"/>
      <w:r w:rsidRPr="00C3732E">
        <w:t>R5-2</w:t>
      </w:r>
      <w:r w:rsidR="0098133F">
        <w:t>31778</w:t>
      </w:r>
      <w:r w:rsidRPr="00C3732E">
        <w:t>, “Discussion on FR2 PC1 MU”, Keysight, RAN5#9</w:t>
      </w:r>
      <w:bookmarkEnd w:id="7"/>
      <w:r w:rsidR="0098133F">
        <w:t>8</w:t>
      </w:r>
      <w:bookmarkEnd w:id="8"/>
    </w:p>
    <w:p w14:paraId="7AAA3956" w14:textId="77777777" w:rsidR="00FC2111" w:rsidRDefault="00FC2111" w:rsidP="00FC2111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124258807"/>
      <w:r w:rsidRPr="00C3732E">
        <w:t>R5-226243, “On AP96.32 Number of grid points exceeding 43dBm”, Keysight, RAN5#97</w:t>
      </w:r>
      <w:bookmarkEnd w:id="9"/>
    </w:p>
    <w:p w14:paraId="64282E49" w14:textId="77777777" w:rsidR="001C165B" w:rsidRPr="001C165B" w:rsidRDefault="003B40CC" w:rsidP="003B23E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r w:rsidRPr="00C3732E">
        <w:t>R5-2</w:t>
      </w:r>
      <w:r>
        <w:t>31786</w:t>
      </w:r>
      <w:r w:rsidRPr="00C3732E">
        <w:t>, “</w:t>
      </w:r>
      <w:r w:rsidR="00C516C8" w:rsidRPr="00197B45">
        <w:t>PC1 MU - definition for REFSENS test case in 38.903</w:t>
      </w:r>
      <w:r w:rsidRPr="00C3732E">
        <w:t>”, Keysight, RAN5#9</w:t>
      </w:r>
      <w:r>
        <w:t>8</w:t>
      </w:r>
    </w:p>
    <w:p w14:paraId="4CD5F6FA" w14:textId="2C416764" w:rsidR="001C165B" w:rsidRPr="001C165B" w:rsidRDefault="001C165B" w:rsidP="003B23E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r w:rsidRPr="001C165B">
        <w:rPr>
          <w:rFonts w:eastAsiaTheme="minorEastAsia"/>
        </w:rPr>
        <w:t xml:space="preserve"> </w:t>
      </w:r>
      <w:bookmarkStart w:id="10" w:name="_Ref132708034"/>
      <w:r w:rsidRPr="001C165B">
        <w:rPr>
          <w:rFonts w:eastAsiaTheme="minorEastAsia"/>
        </w:rPr>
        <w:t>R5-197497, “Discussion on testability of ACS and IBB”, Rohde &amp; Schwarz, Anritsu, Keysight Technologies, RAN5#84</w:t>
      </w:r>
      <w:bookmarkEnd w:id="10"/>
    </w:p>
    <w:p w14:paraId="5509D409" w14:textId="52392FF2" w:rsidR="005E41ED" w:rsidRPr="005E41ED" w:rsidRDefault="005E41ED" w:rsidP="005E41ED">
      <w:pPr>
        <w:pStyle w:val="ListParagraph"/>
        <w:numPr>
          <w:ilvl w:val="0"/>
          <w:numId w:val="5"/>
        </w:numPr>
        <w:spacing w:before="120" w:after="120"/>
        <w:rPr>
          <w:rFonts w:eastAsiaTheme="minorEastAsia"/>
        </w:rPr>
      </w:pPr>
      <w:bookmarkStart w:id="11" w:name="_Ref132709076"/>
      <w:r w:rsidRPr="005E41ED">
        <w:rPr>
          <w:rFonts w:eastAsiaTheme="minorEastAsia"/>
        </w:rPr>
        <w:t>TS 38.101-2, “User Equipment (UE) radio transmission and reception;</w:t>
      </w:r>
      <w:r w:rsidRPr="005E41ED">
        <w:rPr>
          <w:rFonts w:eastAsiaTheme="minorEastAsia" w:hint="eastAsia"/>
        </w:rPr>
        <w:t xml:space="preserve"> </w:t>
      </w:r>
      <w:r w:rsidRPr="005E41ED">
        <w:rPr>
          <w:rFonts w:eastAsiaTheme="minorEastAsia"/>
        </w:rPr>
        <w:t>Part 2: Range 2 Standalone”, V18.0.0</w:t>
      </w:r>
      <w:bookmarkEnd w:id="11"/>
    </w:p>
    <w:p w14:paraId="0B0152E6" w14:textId="77777777" w:rsidR="001C165B" w:rsidRPr="00C3732E" w:rsidRDefault="001C165B" w:rsidP="005E41ED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p w14:paraId="6FCC501D" w14:textId="77777777" w:rsidR="003B40CC" w:rsidRDefault="003B40CC" w:rsidP="008618C0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p w14:paraId="0B2F0361" w14:textId="77777777" w:rsidR="00FC2111" w:rsidRPr="00C3732E" w:rsidRDefault="00FC2111" w:rsidP="00FC2111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bookmarkEnd w:id="6"/>
    <w:p w14:paraId="57E68977" w14:textId="08DD041F" w:rsidR="003404F4" w:rsidRPr="00354167" w:rsidRDefault="003404F4" w:rsidP="00FC2111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3404F4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9ABB5" w14:textId="77777777" w:rsidR="00CA3DED" w:rsidRDefault="00CA3DED">
      <w:r>
        <w:separator/>
      </w:r>
    </w:p>
  </w:endnote>
  <w:endnote w:type="continuationSeparator" w:id="0">
    <w:p w14:paraId="411333DE" w14:textId="77777777" w:rsidR="00CA3DED" w:rsidRDefault="00CA3DED">
      <w:r>
        <w:continuationSeparator/>
      </w:r>
    </w:p>
  </w:endnote>
  <w:endnote w:type="continuationNotice" w:id="1">
    <w:p w14:paraId="21F241E8" w14:textId="77777777" w:rsidR="00CA3DED" w:rsidRDefault="00CA3D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892D2" w14:textId="77777777" w:rsidR="00CA3DED" w:rsidRDefault="00CA3DED">
      <w:r>
        <w:separator/>
      </w:r>
    </w:p>
  </w:footnote>
  <w:footnote w:type="continuationSeparator" w:id="0">
    <w:p w14:paraId="78328B23" w14:textId="77777777" w:rsidR="00CA3DED" w:rsidRDefault="00CA3DED">
      <w:r>
        <w:continuationSeparator/>
      </w:r>
    </w:p>
  </w:footnote>
  <w:footnote w:type="continuationNotice" w:id="1">
    <w:p w14:paraId="075EDFA5" w14:textId="77777777" w:rsidR="00CA3DED" w:rsidRDefault="00CA3D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3B64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88C"/>
    <w:rsid w:val="00032F36"/>
    <w:rsid w:val="00036AF0"/>
    <w:rsid w:val="000373BE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0A88"/>
    <w:rsid w:val="00111826"/>
    <w:rsid w:val="00114DB9"/>
    <w:rsid w:val="001152DB"/>
    <w:rsid w:val="00116761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0EA2"/>
    <w:rsid w:val="001741AE"/>
    <w:rsid w:val="001758FB"/>
    <w:rsid w:val="001915BC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19E8"/>
    <w:rsid w:val="001B2108"/>
    <w:rsid w:val="001B231F"/>
    <w:rsid w:val="001B425D"/>
    <w:rsid w:val="001B6A72"/>
    <w:rsid w:val="001C00AA"/>
    <w:rsid w:val="001C0CFD"/>
    <w:rsid w:val="001C165B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58C7"/>
    <w:rsid w:val="001E6DC6"/>
    <w:rsid w:val="001F2900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3D8D"/>
    <w:rsid w:val="00234D1C"/>
    <w:rsid w:val="00235394"/>
    <w:rsid w:val="00235813"/>
    <w:rsid w:val="00236683"/>
    <w:rsid w:val="0023752C"/>
    <w:rsid w:val="00241A14"/>
    <w:rsid w:val="00244EEE"/>
    <w:rsid w:val="00245F7F"/>
    <w:rsid w:val="002472A5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488C"/>
    <w:rsid w:val="00265BD0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62F5"/>
    <w:rsid w:val="00287895"/>
    <w:rsid w:val="00287C09"/>
    <w:rsid w:val="0029076F"/>
    <w:rsid w:val="00293732"/>
    <w:rsid w:val="00296B9F"/>
    <w:rsid w:val="00296BC3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35DD"/>
    <w:rsid w:val="0030372C"/>
    <w:rsid w:val="003045CD"/>
    <w:rsid w:val="00306D8E"/>
    <w:rsid w:val="00307D2C"/>
    <w:rsid w:val="00313528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ACD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40CC"/>
    <w:rsid w:val="003B478A"/>
    <w:rsid w:val="003B5AB0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53F4"/>
    <w:rsid w:val="00413C3E"/>
    <w:rsid w:val="00413C6C"/>
    <w:rsid w:val="0041477A"/>
    <w:rsid w:val="00417068"/>
    <w:rsid w:val="004204BB"/>
    <w:rsid w:val="00420AD5"/>
    <w:rsid w:val="00421B0E"/>
    <w:rsid w:val="00426356"/>
    <w:rsid w:val="00427B4E"/>
    <w:rsid w:val="00431287"/>
    <w:rsid w:val="004420B4"/>
    <w:rsid w:val="00443596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1E5A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B4430"/>
    <w:rsid w:val="004C2A16"/>
    <w:rsid w:val="004D0FD5"/>
    <w:rsid w:val="004D5AE5"/>
    <w:rsid w:val="004E2B50"/>
    <w:rsid w:val="004E5676"/>
    <w:rsid w:val="004E6319"/>
    <w:rsid w:val="004E72DE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34F8F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48B5"/>
    <w:rsid w:val="00585950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3427"/>
    <w:rsid w:val="005B6362"/>
    <w:rsid w:val="005B7B7A"/>
    <w:rsid w:val="005C239F"/>
    <w:rsid w:val="005C331B"/>
    <w:rsid w:val="005C4593"/>
    <w:rsid w:val="005D6DA8"/>
    <w:rsid w:val="005E12CD"/>
    <w:rsid w:val="005E2166"/>
    <w:rsid w:val="005E2985"/>
    <w:rsid w:val="005E41ED"/>
    <w:rsid w:val="005E5D66"/>
    <w:rsid w:val="005F3B1B"/>
    <w:rsid w:val="00605210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3229"/>
    <w:rsid w:val="00665AD3"/>
    <w:rsid w:val="00683EDA"/>
    <w:rsid w:val="006856E5"/>
    <w:rsid w:val="006919D4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BD"/>
    <w:rsid w:val="006B03F1"/>
    <w:rsid w:val="006B0D02"/>
    <w:rsid w:val="006B1C2F"/>
    <w:rsid w:val="006B363D"/>
    <w:rsid w:val="006B39EF"/>
    <w:rsid w:val="006C15E1"/>
    <w:rsid w:val="006C2AF9"/>
    <w:rsid w:val="006C3A94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742"/>
    <w:rsid w:val="00714DD6"/>
    <w:rsid w:val="007162EF"/>
    <w:rsid w:val="00720148"/>
    <w:rsid w:val="00720AC9"/>
    <w:rsid w:val="00721096"/>
    <w:rsid w:val="00721F37"/>
    <w:rsid w:val="007250C2"/>
    <w:rsid w:val="0072666A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48ED"/>
    <w:rsid w:val="00774B17"/>
    <w:rsid w:val="007756A1"/>
    <w:rsid w:val="0078088D"/>
    <w:rsid w:val="00785759"/>
    <w:rsid w:val="00785D03"/>
    <w:rsid w:val="007927CF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6DD8"/>
    <w:rsid w:val="007D0054"/>
    <w:rsid w:val="007D258B"/>
    <w:rsid w:val="007D2F2F"/>
    <w:rsid w:val="007D36D3"/>
    <w:rsid w:val="007D3BE3"/>
    <w:rsid w:val="007D6048"/>
    <w:rsid w:val="007E0486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5662"/>
    <w:rsid w:val="00807F76"/>
    <w:rsid w:val="0081038D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8C0"/>
    <w:rsid w:val="00861C5F"/>
    <w:rsid w:val="008626D8"/>
    <w:rsid w:val="00863644"/>
    <w:rsid w:val="00864950"/>
    <w:rsid w:val="00864B00"/>
    <w:rsid w:val="00870861"/>
    <w:rsid w:val="0087155F"/>
    <w:rsid w:val="00871E22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B75CB"/>
    <w:rsid w:val="008C2308"/>
    <w:rsid w:val="008C60E9"/>
    <w:rsid w:val="008C7836"/>
    <w:rsid w:val="008D3D91"/>
    <w:rsid w:val="008D7BED"/>
    <w:rsid w:val="008E381B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6E6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133F"/>
    <w:rsid w:val="00982B7E"/>
    <w:rsid w:val="00983910"/>
    <w:rsid w:val="00984E5F"/>
    <w:rsid w:val="009913F6"/>
    <w:rsid w:val="00992B5F"/>
    <w:rsid w:val="00997D88"/>
    <w:rsid w:val="009A5F26"/>
    <w:rsid w:val="009A63AD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3584A"/>
    <w:rsid w:val="00A42EAE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2BD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D7887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1503"/>
    <w:rsid w:val="00B426E8"/>
    <w:rsid w:val="00B428B9"/>
    <w:rsid w:val="00B42B91"/>
    <w:rsid w:val="00B43FEC"/>
    <w:rsid w:val="00B478AC"/>
    <w:rsid w:val="00B55D9A"/>
    <w:rsid w:val="00B5661F"/>
    <w:rsid w:val="00B6099D"/>
    <w:rsid w:val="00B62514"/>
    <w:rsid w:val="00B63715"/>
    <w:rsid w:val="00B65101"/>
    <w:rsid w:val="00B72D2C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A0D2D"/>
    <w:rsid w:val="00BA3F2B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1022"/>
    <w:rsid w:val="00BD455F"/>
    <w:rsid w:val="00BD707B"/>
    <w:rsid w:val="00BE0187"/>
    <w:rsid w:val="00BE1212"/>
    <w:rsid w:val="00BE1A05"/>
    <w:rsid w:val="00BE3D23"/>
    <w:rsid w:val="00BE5CA5"/>
    <w:rsid w:val="00BE5CB9"/>
    <w:rsid w:val="00BE6B4F"/>
    <w:rsid w:val="00BF5875"/>
    <w:rsid w:val="00C01AD5"/>
    <w:rsid w:val="00C01D4A"/>
    <w:rsid w:val="00C050BC"/>
    <w:rsid w:val="00C050CF"/>
    <w:rsid w:val="00C06487"/>
    <w:rsid w:val="00C065DE"/>
    <w:rsid w:val="00C13F5C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16C8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A1AB4"/>
    <w:rsid w:val="00CA3A27"/>
    <w:rsid w:val="00CA3DED"/>
    <w:rsid w:val="00CA517A"/>
    <w:rsid w:val="00CB0D58"/>
    <w:rsid w:val="00CB29E4"/>
    <w:rsid w:val="00CB54AD"/>
    <w:rsid w:val="00CB5BF2"/>
    <w:rsid w:val="00CC15A4"/>
    <w:rsid w:val="00CC28A9"/>
    <w:rsid w:val="00CC6580"/>
    <w:rsid w:val="00CC6FE0"/>
    <w:rsid w:val="00CD554E"/>
    <w:rsid w:val="00CD613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40A4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A69E7"/>
    <w:rsid w:val="00DB5E7F"/>
    <w:rsid w:val="00DB6CE7"/>
    <w:rsid w:val="00DC176A"/>
    <w:rsid w:val="00DC41F8"/>
    <w:rsid w:val="00DC687B"/>
    <w:rsid w:val="00DD0C2C"/>
    <w:rsid w:val="00DD0F6E"/>
    <w:rsid w:val="00DD14A6"/>
    <w:rsid w:val="00DD1C07"/>
    <w:rsid w:val="00DD3907"/>
    <w:rsid w:val="00DD4BF9"/>
    <w:rsid w:val="00DD7312"/>
    <w:rsid w:val="00DE0E3E"/>
    <w:rsid w:val="00DE2633"/>
    <w:rsid w:val="00DF1AE6"/>
    <w:rsid w:val="00E038CE"/>
    <w:rsid w:val="00E03F11"/>
    <w:rsid w:val="00E0463C"/>
    <w:rsid w:val="00E05E47"/>
    <w:rsid w:val="00E077C9"/>
    <w:rsid w:val="00E11C02"/>
    <w:rsid w:val="00E17C68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1B84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61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016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267E"/>
    <w:rsid w:val="00F6358D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A440D"/>
    <w:rsid w:val="00FA78E6"/>
    <w:rsid w:val="00FB2CFC"/>
    <w:rsid w:val="00FB560E"/>
    <w:rsid w:val="00FB69E7"/>
    <w:rsid w:val="00FB7E25"/>
    <w:rsid w:val="00FC051F"/>
    <w:rsid w:val="00FC2111"/>
    <w:rsid w:val="00FC426E"/>
    <w:rsid w:val="00FC5F9D"/>
    <w:rsid w:val="00FD16E0"/>
    <w:rsid w:val="00FD182B"/>
    <w:rsid w:val="00FD446A"/>
    <w:rsid w:val="00FD576F"/>
    <w:rsid w:val="00FD7A87"/>
    <w:rsid w:val="00FE1522"/>
    <w:rsid w:val="00FE6645"/>
    <w:rsid w:val="00FE6EAD"/>
    <w:rsid w:val="00FF04B3"/>
    <w:rsid w:val="00FF3FF6"/>
    <w:rsid w:val="00FF48C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AF5C1-B235-4B9E-BB40-B7A6216F8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2</Pages>
  <Words>606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123</cp:revision>
  <dcterms:created xsi:type="dcterms:W3CDTF">2020-05-26T02:02:00Z</dcterms:created>
  <dcterms:modified xsi:type="dcterms:W3CDTF">2023-05-05T08:22:00Z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